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EF" w:rsidRPr="001C3DDE" w:rsidRDefault="00C51FEF" w:rsidP="00C51FEF">
      <w:pPr>
        <w:pStyle w:val="a4"/>
        <w:spacing w:line="360" w:lineRule="auto"/>
        <w:rPr>
          <w:rFonts w:cs="Times New Roman"/>
          <w:b/>
          <w:szCs w:val="28"/>
        </w:rPr>
      </w:pPr>
      <w:r w:rsidRPr="001C3DDE">
        <w:rPr>
          <w:rFonts w:cs="Times New Roman"/>
          <w:b/>
          <w:szCs w:val="28"/>
        </w:rPr>
        <w:t>Формирование у учащихся ключевых компетенций в области устойчивого развития как проблема педагогической теории и практики</w:t>
      </w:r>
    </w:p>
    <w:p w:rsidR="00C51FEF" w:rsidRPr="00C51FEF" w:rsidRDefault="001C3DDE" w:rsidP="00C51FEF">
      <w:pPr>
        <w:pStyle w:val="a4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</w:t>
      </w:r>
      <w:r w:rsidR="00C51FEF" w:rsidRPr="00C51FEF">
        <w:rPr>
          <w:rFonts w:cs="Times New Roman"/>
          <w:szCs w:val="28"/>
        </w:rPr>
        <w:t>Гриб Михаил Владимирович</w:t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szCs w:val="28"/>
        </w:rPr>
      </w:pPr>
      <w:r w:rsidRPr="00C51FEF">
        <w:rPr>
          <w:rFonts w:cs="Times New Roman"/>
          <w:szCs w:val="28"/>
        </w:rPr>
        <w:t>Учитель истории и обществоведения, ГУО «</w:t>
      </w:r>
      <w:proofErr w:type="spellStart"/>
      <w:r w:rsidRPr="00C51FEF">
        <w:rPr>
          <w:rFonts w:cs="Times New Roman"/>
          <w:szCs w:val="28"/>
        </w:rPr>
        <w:t>Хоростовская</w:t>
      </w:r>
      <w:proofErr w:type="spellEnd"/>
      <w:r w:rsidRPr="00C51FEF">
        <w:rPr>
          <w:rFonts w:cs="Times New Roman"/>
          <w:szCs w:val="28"/>
        </w:rPr>
        <w:t xml:space="preserve"> средняя школа</w:t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szCs w:val="28"/>
        </w:rPr>
      </w:pPr>
      <w:proofErr w:type="spellStart"/>
      <w:r w:rsidRPr="00C51FEF">
        <w:rPr>
          <w:rFonts w:cs="Times New Roman"/>
          <w:szCs w:val="28"/>
        </w:rPr>
        <w:t>Солигорского</w:t>
      </w:r>
      <w:proofErr w:type="spellEnd"/>
      <w:r w:rsidRPr="00C51FEF">
        <w:rPr>
          <w:rFonts w:cs="Times New Roman"/>
          <w:szCs w:val="28"/>
        </w:rPr>
        <w:t xml:space="preserve"> района», </w:t>
      </w:r>
      <w:proofErr w:type="spellStart"/>
      <w:r w:rsidRPr="00C51FEF">
        <w:rPr>
          <w:rFonts w:cs="Times New Roman"/>
          <w:szCs w:val="28"/>
        </w:rPr>
        <w:t>аг</w:t>
      </w:r>
      <w:proofErr w:type="spellEnd"/>
      <w:r w:rsidRPr="00C51FEF">
        <w:rPr>
          <w:rFonts w:cs="Times New Roman"/>
          <w:szCs w:val="28"/>
        </w:rPr>
        <w:t xml:space="preserve">. </w:t>
      </w:r>
      <w:proofErr w:type="spellStart"/>
      <w:r w:rsidRPr="00C51FEF">
        <w:rPr>
          <w:rFonts w:cs="Times New Roman"/>
          <w:szCs w:val="28"/>
        </w:rPr>
        <w:t>Хоростово</w:t>
      </w:r>
      <w:proofErr w:type="spellEnd"/>
      <w:r w:rsidRPr="00C51FEF">
        <w:rPr>
          <w:rFonts w:cs="Times New Roman"/>
          <w:szCs w:val="28"/>
        </w:rPr>
        <w:t>.</w:t>
      </w:r>
    </w:p>
    <w:p w:rsidR="00F64DE3" w:rsidRPr="001C3DDE" w:rsidRDefault="00C51FEF" w:rsidP="00C51FEF">
      <w:pPr>
        <w:pStyle w:val="a4"/>
        <w:spacing w:line="360" w:lineRule="auto"/>
        <w:rPr>
          <w:rFonts w:cs="Times New Roman"/>
          <w:szCs w:val="28"/>
          <w:lang w:val="en-US"/>
        </w:rPr>
      </w:pPr>
      <w:r w:rsidRPr="001C3DDE">
        <w:rPr>
          <w:rFonts w:cs="Times New Roman"/>
          <w:b/>
          <w:szCs w:val="28"/>
          <w:lang w:val="en-US"/>
        </w:rPr>
        <w:t>Email:</w:t>
      </w:r>
      <w:r w:rsidRPr="001C3DDE">
        <w:rPr>
          <w:rFonts w:cs="Times New Roman"/>
          <w:szCs w:val="28"/>
          <w:lang w:val="en-US"/>
        </w:rPr>
        <w:t xml:space="preserve"> </w:t>
      </w:r>
      <w:hyperlink r:id="rId5" w:history="1">
        <w:r w:rsidRPr="001C3DDE">
          <w:rPr>
            <w:rStyle w:val="a3"/>
            <w:rFonts w:cs="Times New Roman"/>
            <w:szCs w:val="28"/>
            <w:lang w:val="en-US"/>
          </w:rPr>
          <w:t>gribmihail2018@gmail.com</w:t>
        </w:r>
      </w:hyperlink>
    </w:p>
    <w:p w:rsidR="00C51FEF" w:rsidRPr="00C51FEF" w:rsidRDefault="001C3DDE" w:rsidP="00C51FEF">
      <w:pPr>
        <w:pStyle w:val="a4"/>
        <w:spacing w:line="360" w:lineRule="auto"/>
        <w:rPr>
          <w:rFonts w:cs="Times New Roman"/>
          <w:color w:val="000000"/>
          <w:szCs w:val="28"/>
          <w:lang w:val="en-US"/>
        </w:rPr>
      </w:pPr>
      <w:r w:rsidRPr="001C3DDE">
        <w:rPr>
          <w:rFonts w:cs="Times New Roman"/>
          <w:b/>
          <w:color w:val="000000"/>
          <w:szCs w:val="28"/>
          <w:lang w:val="en-US"/>
        </w:rPr>
        <w:t>Abstract</w:t>
      </w:r>
      <w:r>
        <w:rPr>
          <w:rFonts w:cs="Times New Roman"/>
          <w:color w:val="000000"/>
          <w:szCs w:val="28"/>
          <w:lang w:val="en-US"/>
        </w:rPr>
        <w:t xml:space="preserve">: </w:t>
      </w:r>
      <w:r w:rsidR="00C51FEF" w:rsidRPr="00C51FEF">
        <w:rPr>
          <w:rFonts w:cs="Times New Roman"/>
          <w:color w:val="000000"/>
          <w:szCs w:val="28"/>
          <w:lang w:val="en-US"/>
        </w:rPr>
        <w:t>Formation of students' key competencies in the field of sustainable development as a problem of pedagogical theory and practice</w:t>
      </w:r>
    </w:p>
    <w:p w:rsidR="001C3DDE" w:rsidRDefault="00C51FEF" w:rsidP="00C51FEF">
      <w:pPr>
        <w:pStyle w:val="a4"/>
        <w:spacing w:line="360" w:lineRule="auto"/>
        <w:rPr>
          <w:rFonts w:cs="Times New Roman"/>
          <w:color w:val="000000"/>
          <w:szCs w:val="28"/>
          <w:lang w:val="en-US"/>
        </w:rPr>
      </w:pPr>
      <w:r w:rsidRPr="00C51FEF">
        <w:rPr>
          <w:rFonts w:cs="Times New Roman"/>
          <w:color w:val="000000"/>
          <w:szCs w:val="28"/>
          <w:lang w:val="en-US"/>
        </w:rPr>
        <w:t xml:space="preserve"> </w:t>
      </w:r>
      <w:r w:rsidR="001C3DDE" w:rsidRPr="001C3DDE">
        <w:rPr>
          <w:rFonts w:cs="Times New Roman"/>
          <w:color w:val="000000"/>
          <w:szCs w:val="28"/>
          <w:lang w:val="en-US"/>
        </w:rPr>
        <w:t xml:space="preserve">                                                                                   </w:t>
      </w:r>
      <w:proofErr w:type="spellStart"/>
      <w:r w:rsidRPr="00C51FEF">
        <w:rPr>
          <w:rFonts w:cs="Times New Roman"/>
          <w:color w:val="000000"/>
          <w:szCs w:val="28"/>
          <w:lang w:val="en-US"/>
        </w:rPr>
        <w:t>Grib</w:t>
      </w:r>
      <w:proofErr w:type="spellEnd"/>
      <w:r w:rsidRPr="00C51FEF">
        <w:rPr>
          <w:rFonts w:cs="Times New Roman"/>
          <w:color w:val="000000"/>
          <w:szCs w:val="28"/>
          <w:lang w:val="en-US"/>
        </w:rPr>
        <w:t xml:space="preserve"> Mikhail Vladimirovich </w:t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color w:val="000000"/>
          <w:szCs w:val="28"/>
          <w:lang w:val="en-US"/>
        </w:rPr>
      </w:pPr>
      <w:r w:rsidRPr="00C51FEF">
        <w:rPr>
          <w:rFonts w:cs="Times New Roman"/>
          <w:color w:val="000000"/>
          <w:szCs w:val="28"/>
          <w:lang w:val="en-US"/>
        </w:rPr>
        <w:t>Teacher of history and social studies, GUO "</w:t>
      </w:r>
      <w:proofErr w:type="spellStart"/>
      <w:r w:rsidRPr="00C51FEF">
        <w:rPr>
          <w:rFonts w:cs="Times New Roman"/>
          <w:color w:val="000000"/>
          <w:szCs w:val="28"/>
          <w:lang w:val="en-US"/>
        </w:rPr>
        <w:t>Khorostovskaya</w:t>
      </w:r>
      <w:proofErr w:type="spellEnd"/>
      <w:r w:rsidRPr="00C51FEF">
        <w:rPr>
          <w:rFonts w:cs="Times New Roman"/>
          <w:color w:val="000000"/>
          <w:szCs w:val="28"/>
          <w:lang w:val="en-US"/>
        </w:rPr>
        <w:t xml:space="preserve"> Secondary School </w:t>
      </w:r>
      <w:proofErr w:type="spellStart"/>
      <w:r w:rsidRPr="00C51FEF">
        <w:rPr>
          <w:rFonts w:cs="Times New Roman"/>
          <w:color w:val="000000"/>
          <w:szCs w:val="28"/>
          <w:lang w:val="en-US"/>
        </w:rPr>
        <w:t>Soligorsky</w:t>
      </w:r>
      <w:proofErr w:type="spellEnd"/>
      <w:r w:rsidRPr="00C51FEF">
        <w:rPr>
          <w:rFonts w:cs="Times New Roman"/>
          <w:color w:val="000000"/>
          <w:szCs w:val="28"/>
          <w:lang w:val="en-US"/>
        </w:rPr>
        <w:t xml:space="preserve"> district", ag. </w:t>
      </w:r>
      <w:proofErr w:type="spellStart"/>
      <w:r w:rsidRPr="00C51FEF">
        <w:rPr>
          <w:rFonts w:cs="Times New Roman"/>
          <w:color w:val="000000"/>
          <w:szCs w:val="28"/>
          <w:lang w:val="en-US"/>
        </w:rPr>
        <w:t>Khorostovo</w:t>
      </w:r>
      <w:proofErr w:type="spellEnd"/>
      <w:r w:rsidRPr="00C51FEF">
        <w:rPr>
          <w:rFonts w:cs="Times New Roman"/>
          <w:color w:val="000000"/>
          <w:szCs w:val="28"/>
          <w:lang w:val="en-US"/>
        </w:rPr>
        <w:t>.</w:t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color w:val="000000"/>
          <w:szCs w:val="28"/>
          <w:lang w:val="en-US"/>
        </w:rPr>
      </w:pPr>
      <w:r w:rsidRPr="00C51FEF">
        <w:rPr>
          <w:rFonts w:cs="Times New Roman"/>
          <w:color w:val="000000"/>
          <w:szCs w:val="28"/>
          <w:lang w:val="en-US"/>
        </w:rPr>
        <w:t xml:space="preserve"> </w:t>
      </w:r>
      <w:r w:rsidRPr="00C51FEF">
        <w:rPr>
          <w:rFonts w:cs="Times New Roman"/>
          <w:b/>
          <w:color w:val="000000"/>
          <w:szCs w:val="28"/>
          <w:lang w:val="en-US"/>
        </w:rPr>
        <w:t>Email address</w:t>
      </w:r>
      <w:r w:rsidRPr="00C51FEF">
        <w:rPr>
          <w:rFonts w:cs="Times New Roman"/>
          <w:color w:val="000000"/>
          <w:szCs w:val="28"/>
          <w:lang w:val="en-US"/>
        </w:rPr>
        <w:t xml:space="preserve">: </w:t>
      </w:r>
      <w:hyperlink r:id="rId6" w:history="1">
        <w:r w:rsidRPr="00C51FEF">
          <w:rPr>
            <w:rStyle w:val="a3"/>
            <w:rFonts w:cs="Times New Roman"/>
            <w:szCs w:val="28"/>
            <w:lang w:val="en-US"/>
          </w:rPr>
          <w:t>gribmihail2018@gmail.com</w:t>
        </w:r>
      </w:hyperlink>
    </w:p>
    <w:p w:rsidR="00C51FEF" w:rsidRPr="00C51FEF" w:rsidRDefault="00C51FEF" w:rsidP="00C51FEF">
      <w:pPr>
        <w:pStyle w:val="a4"/>
        <w:spacing w:line="360" w:lineRule="auto"/>
        <w:rPr>
          <w:rFonts w:cs="Times New Roman"/>
          <w:color w:val="000000"/>
          <w:szCs w:val="28"/>
        </w:rPr>
      </w:pPr>
      <w:r w:rsidRPr="00C51FEF">
        <w:rPr>
          <w:rFonts w:cs="Times New Roman"/>
          <w:b/>
          <w:color w:val="000000"/>
          <w:szCs w:val="28"/>
        </w:rPr>
        <w:t>Аннотация</w:t>
      </w:r>
      <w:r w:rsidRPr="00C51FEF">
        <w:rPr>
          <w:rFonts w:cs="Times New Roman"/>
          <w:color w:val="000000"/>
          <w:szCs w:val="28"/>
        </w:rPr>
        <w:t>: формирование ключевых компетенций является важным феноменом в вопросе не только педагогики и образования, но и общества в целом. В этой статье я затрону проблематику формирования ключевых компетенций у учащихся с точки зрения педагогики.</w:t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color w:val="000000"/>
          <w:szCs w:val="28"/>
        </w:rPr>
      </w:pPr>
      <w:r w:rsidRPr="00C51FEF">
        <w:rPr>
          <w:rFonts w:cs="Times New Roman"/>
          <w:b/>
          <w:color w:val="000000"/>
          <w:szCs w:val="28"/>
        </w:rPr>
        <w:t>Ключевые слова</w:t>
      </w:r>
      <w:r w:rsidRPr="00C51FEF">
        <w:rPr>
          <w:rFonts w:cs="Times New Roman"/>
          <w:color w:val="000000"/>
          <w:szCs w:val="28"/>
        </w:rPr>
        <w:t>: компетенции, педагогика, формирование.</w:t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color w:val="000000"/>
          <w:szCs w:val="28"/>
          <w:lang w:val="en-US"/>
        </w:rPr>
      </w:pPr>
      <w:r w:rsidRPr="001C3DDE">
        <w:rPr>
          <w:rFonts w:cs="Times New Roman"/>
          <w:b/>
          <w:color w:val="000000"/>
          <w:szCs w:val="28"/>
          <w:lang w:val="en-US"/>
        </w:rPr>
        <w:t>Abstract</w:t>
      </w:r>
      <w:r w:rsidRPr="00C51FEF">
        <w:rPr>
          <w:rFonts w:cs="Times New Roman"/>
          <w:color w:val="000000"/>
          <w:szCs w:val="28"/>
          <w:lang w:val="en-US"/>
        </w:rPr>
        <w:t xml:space="preserve">: the formation of key competencies is an important phenomenon in the issue of not only pedagogy and education, but also society as a whole. In this article I will touch upon the problems of the formation of key competencies in students from the point of view of pedagogy. </w:t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color w:val="000000"/>
          <w:szCs w:val="28"/>
        </w:rPr>
      </w:pPr>
      <w:proofErr w:type="spellStart"/>
      <w:r w:rsidRPr="001C3DDE">
        <w:rPr>
          <w:rFonts w:cs="Times New Roman"/>
          <w:b/>
          <w:color w:val="000000"/>
          <w:szCs w:val="28"/>
        </w:rPr>
        <w:t>Keywords</w:t>
      </w:r>
      <w:proofErr w:type="spellEnd"/>
      <w:r w:rsidRPr="00C51FEF">
        <w:rPr>
          <w:rFonts w:cs="Times New Roman"/>
          <w:color w:val="000000"/>
          <w:szCs w:val="28"/>
        </w:rPr>
        <w:t xml:space="preserve">: </w:t>
      </w:r>
      <w:proofErr w:type="spellStart"/>
      <w:r w:rsidRPr="00C51FEF">
        <w:rPr>
          <w:rFonts w:cs="Times New Roman"/>
          <w:color w:val="000000"/>
          <w:szCs w:val="28"/>
        </w:rPr>
        <w:t>competencies</w:t>
      </w:r>
      <w:proofErr w:type="spellEnd"/>
      <w:r w:rsidRPr="00C51FEF">
        <w:rPr>
          <w:rFonts w:cs="Times New Roman"/>
          <w:color w:val="000000"/>
          <w:szCs w:val="28"/>
        </w:rPr>
        <w:t xml:space="preserve">, </w:t>
      </w:r>
      <w:proofErr w:type="spellStart"/>
      <w:r w:rsidRPr="00C51FEF">
        <w:rPr>
          <w:rFonts w:cs="Times New Roman"/>
          <w:color w:val="000000"/>
          <w:szCs w:val="28"/>
        </w:rPr>
        <w:t>pedagogy</w:t>
      </w:r>
      <w:proofErr w:type="spellEnd"/>
      <w:r w:rsidRPr="00C51FEF">
        <w:rPr>
          <w:rFonts w:cs="Times New Roman"/>
          <w:color w:val="000000"/>
          <w:szCs w:val="28"/>
        </w:rPr>
        <w:t>,</w:t>
      </w:r>
      <w:r w:rsidR="001C3DDE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C51FEF">
        <w:rPr>
          <w:rFonts w:cs="Times New Roman"/>
          <w:color w:val="000000"/>
          <w:szCs w:val="28"/>
        </w:rPr>
        <w:t>formation</w:t>
      </w:r>
      <w:proofErr w:type="spellEnd"/>
    </w:p>
    <w:p w:rsidR="00C51FEF" w:rsidRPr="00C51FEF" w:rsidRDefault="00C51FEF" w:rsidP="00C51FEF">
      <w:pPr>
        <w:pStyle w:val="a4"/>
        <w:spacing w:line="360" w:lineRule="auto"/>
        <w:rPr>
          <w:rStyle w:val="a3"/>
          <w:rFonts w:cs="Times New Roman"/>
          <w:color w:val="000080"/>
          <w:szCs w:val="28"/>
          <w:u w:val="none"/>
        </w:rPr>
      </w:pPr>
      <w:r w:rsidRPr="00C51FEF">
        <w:rPr>
          <w:rFonts w:cs="Times New Roman"/>
          <w:b/>
          <w:bCs/>
          <w:color w:val="333333"/>
          <w:szCs w:val="28"/>
        </w:rPr>
        <w:fldChar w:fldCharType="begin"/>
      </w:r>
      <w:r w:rsidRPr="00C51FEF">
        <w:rPr>
          <w:rFonts w:cs="Times New Roman"/>
          <w:b/>
          <w:bCs/>
          <w:color w:val="333333"/>
          <w:szCs w:val="28"/>
        </w:rPr>
        <w:instrText xml:space="preserve"> 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HYPERLINK</w:instrText>
      </w:r>
      <w:r w:rsidRPr="00C51FEF">
        <w:rPr>
          <w:rFonts w:cs="Times New Roman"/>
          <w:b/>
          <w:bCs/>
          <w:color w:val="333333"/>
          <w:szCs w:val="28"/>
        </w:rPr>
        <w:instrText xml:space="preserve"> "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https</w:instrText>
      </w:r>
      <w:r w:rsidRPr="00C51FEF">
        <w:rPr>
          <w:rFonts w:cs="Times New Roman"/>
          <w:b/>
          <w:bCs/>
          <w:color w:val="333333"/>
          <w:szCs w:val="28"/>
        </w:rPr>
        <w:instrText>://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www</w:instrText>
      </w:r>
      <w:r w:rsidRPr="00C51FEF">
        <w:rPr>
          <w:rFonts w:cs="Times New Roman"/>
          <w:b/>
          <w:bCs/>
          <w:color w:val="333333"/>
          <w:szCs w:val="28"/>
        </w:rPr>
        <w:instrText>.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deepl</w:instrText>
      </w:r>
      <w:r w:rsidRPr="00C51FEF">
        <w:rPr>
          <w:rFonts w:cs="Times New Roman"/>
          <w:b/>
          <w:bCs/>
          <w:color w:val="333333"/>
          <w:szCs w:val="28"/>
        </w:rPr>
        <w:instrText>.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com</w:instrText>
      </w:r>
      <w:r w:rsidRPr="00C51FEF">
        <w:rPr>
          <w:rFonts w:cs="Times New Roman"/>
          <w:b/>
          <w:bCs/>
          <w:color w:val="333333"/>
          <w:szCs w:val="28"/>
        </w:rPr>
        <w:instrText>/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ru</w:instrText>
      </w:r>
      <w:r w:rsidRPr="00C51FEF">
        <w:rPr>
          <w:rFonts w:cs="Times New Roman"/>
          <w:b/>
          <w:bCs/>
          <w:color w:val="333333"/>
          <w:szCs w:val="28"/>
        </w:rPr>
        <w:instrText>/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translator</w:instrText>
      </w:r>
      <w:r w:rsidRPr="00C51FEF">
        <w:rPr>
          <w:rFonts w:cs="Times New Roman"/>
          <w:b/>
          <w:bCs/>
          <w:color w:val="333333"/>
          <w:szCs w:val="28"/>
        </w:rPr>
        <w:instrText>" \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t</w:instrText>
      </w:r>
      <w:r w:rsidRPr="00C51FEF">
        <w:rPr>
          <w:rFonts w:cs="Times New Roman"/>
          <w:b/>
          <w:bCs/>
          <w:color w:val="333333"/>
          <w:szCs w:val="28"/>
        </w:rPr>
        <w:instrText xml:space="preserve"> "_</w:instrText>
      </w:r>
      <w:r w:rsidRPr="00C51FEF">
        <w:rPr>
          <w:rFonts w:cs="Times New Roman"/>
          <w:b/>
          <w:bCs/>
          <w:color w:val="333333"/>
          <w:szCs w:val="28"/>
          <w:lang w:val="en-US"/>
        </w:rPr>
        <w:instrText>blank</w:instrText>
      </w:r>
      <w:r w:rsidRPr="00C51FEF">
        <w:rPr>
          <w:rFonts w:cs="Times New Roman"/>
          <w:b/>
          <w:bCs/>
          <w:color w:val="333333"/>
          <w:szCs w:val="28"/>
        </w:rPr>
        <w:instrText xml:space="preserve">" </w:instrText>
      </w:r>
      <w:r w:rsidRPr="00C51FEF">
        <w:rPr>
          <w:rFonts w:cs="Times New Roman"/>
          <w:b/>
          <w:bCs/>
          <w:color w:val="333333"/>
          <w:szCs w:val="28"/>
        </w:rPr>
        <w:fldChar w:fldCharType="separate"/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szCs w:val="28"/>
        </w:rPr>
      </w:pPr>
      <w:r w:rsidRPr="00C51FEF">
        <w:rPr>
          <w:rFonts w:cs="Times New Roman"/>
          <w:b/>
          <w:bCs/>
          <w:color w:val="000080"/>
          <w:szCs w:val="28"/>
        </w:rPr>
        <w:br/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b/>
          <w:bCs/>
          <w:color w:val="333333"/>
          <w:szCs w:val="28"/>
        </w:rPr>
      </w:pPr>
      <w:r w:rsidRPr="00C51FEF">
        <w:rPr>
          <w:rFonts w:cs="Times New Roman"/>
          <w:b/>
          <w:bCs/>
          <w:color w:val="333333"/>
          <w:szCs w:val="28"/>
        </w:rPr>
        <w:fldChar w:fldCharType="end"/>
      </w: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b/>
          <w:bCs/>
          <w:color w:val="333333"/>
          <w:szCs w:val="28"/>
        </w:rPr>
      </w:pP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b/>
          <w:bCs/>
          <w:color w:val="333333"/>
          <w:szCs w:val="28"/>
        </w:rPr>
      </w:pPr>
    </w:p>
    <w:p w:rsidR="00C51FEF" w:rsidRPr="00C51FEF" w:rsidRDefault="00C51FEF" w:rsidP="00C51FEF">
      <w:pPr>
        <w:pStyle w:val="a4"/>
        <w:spacing w:line="360" w:lineRule="auto"/>
        <w:rPr>
          <w:rFonts w:cs="Times New Roman"/>
          <w:b/>
          <w:bCs/>
          <w:color w:val="333333"/>
          <w:szCs w:val="28"/>
        </w:rPr>
      </w:pPr>
    </w:p>
    <w:p w:rsidR="00C51FEF" w:rsidRDefault="00C51FEF" w:rsidP="00C51FEF">
      <w:pPr>
        <w:pStyle w:val="a4"/>
        <w:spacing w:line="360" w:lineRule="auto"/>
        <w:rPr>
          <w:rFonts w:cs="Times New Roman"/>
          <w:szCs w:val="28"/>
        </w:rPr>
      </w:pPr>
    </w:p>
    <w:p w:rsidR="001C3DDE" w:rsidRDefault="001C3DDE" w:rsidP="001C3DDE">
      <w:pPr>
        <w:pStyle w:val="a4"/>
        <w:spacing w:line="360" w:lineRule="auto"/>
      </w:pPr>
      <w:r w:rsidRPr="001C3DDE">
        <w:lastRenderedPageBreak/>
        <w:t xml:space="preserve"> </w:t>
      </w:r>
      <w:r>
        <w:t>Современное общество выдвигает серьезные требования к уровню подготовки молодого человека к будущей жизнедеятельности. Подготовка начинается в дошкольном возрасте с использованием развивающих программ в детских садах. Все последующее школьное образование нацелено на то, чтобы хорошо подготовить молодого человека к взрослой жизни, обучить его правильно и по назначению использовать ранее полученную информацию для достижения целей, свободно владеть современными ИКТ, продуктивно вести диалог, брать на себя ответственность за свои поступки и решения, составлять план самостоятельных действий и придерживаться его, профессионально применять специальные навыки, добиваться успехов в личной жизни, быть полезным обществу и государству.</w:t>
      </w:r>
      <w:r>
        <w:t xml:space="preserve"> </w:t>
      </w:r>
    </w:p>
    <w:p w:rsidR="001C3DDE" w:rsidRDefault="001C3DDE" w:rsidP="001C3DDE">
      <w:pPr>
        <w:pStyle w:val="a4"/>
        <w:spacing w:line="360" w:lineRule="auto"/>
      </w:pPr>
      <w:r>
        <w:t xml:space="preserve">    </w:t>
      </w:r>
      <w:r>
        <w:t>Современное образование все больше ориентируется на подготовку компетентного человека. Образование становится непрерывным, открытым, ориентированным на результат. Именно поэтому основная ставка реформирования образования делается на формирование у подрастающего поколения компетенций, которые позволят в течение жизни управлять собственным образованием, правильно определять направления своей деятельности и результативно заниматься самообразованием. Урочная и внеклассная деятельность, дополнительное образование, которое является неотъемлемой частью современного образования, стремятся к главной цели – достигнуть результатов, обеспечивающих готовность выпускников ответить на вызовы современного мира.</w:t>
      </w:r>
    </w:p>
    <w:p w:rsidR="001C3DDE" w:rsidRDefault="001C3DDE" w:rsidP="001C3DDE">
      <w:pPr>
        <w:pStyle w:val="a4"/>
        <w:spacing w:line="360" w:lineRule="auto"/>
      </w:pPr>
      <w:r>
        <w:t xml:space="preserve">  </w:t>
      </w:r>
      <w:r>
        <w:t>Многие современные педагогические исследования посвящены проблематике проектирования и моделирования новой развивающей среды и обучающего пространства, называемого</w:t>
      </w:r>
      <w:r>
        <w:t xml:space="preserve"> </w:t>
      </w:r>
      <w:r>
        <w:t>«информационное образовательное пространство» и «информационная образовательная среда». «информационное образовательное пространство» и «информационная образовательная среда».</w:t>
      </w:r>
    </w:p>
    <w:p w:rsidR="001C3DDE" w:rsidRDefault="001C3DDE" w:rsidP="001C3DDE">
      <w:pPr>
        <w:pStyle w:val="a4"/>
        <w:spacing w:line="360" w:lineRule="auto"/>
      </w:pPr>
      <w:r>
        <w:t xml:space="preserve">Информационная образовательная среда понимается как «специально организованное и поддерживаемое образовательное пространство, в котором </w:t>
      </w:r>
      <w:r>
        <w:lastRenderedPageBreak/>
        <w:t>происходит формирование и развитие интеллектуального и личностного потенциала субъекта» [1, с. 147]</w:t>
      </w:r>
    </w:p>
    <w:p w:rsidR="001C3DDE" w:rsidRDefault="001C3DDE" w:rsidP="001C3DDE">
      <w:pPr>
        <w:pStyle w:val="a4"/>
        <w:spacing w:line="360" w:lineRule="auto"/>
      </w:pPr>
      <w:r>
        <w:t xml:space="preserve">   </w:t>
      </w:r>
      <w:r>
        <w:t>Педагоги, обучающиеся и другие субъекты среды, как основные пользователи средств информационных, коммуникационных технологий, должны не только уверенно владеть современными технологиями, но и уметь ими пользоваться в рамках образовательного и научного процессов, поддерживать в информационной среде постоянную связь друг с другом и решать общие образовательные задачи</w:t>
      </w:r>
      <w:r>
        <w:t>.</w:t>
      </w:r>
    </w:p>
    <w:p w:rsidR="00FD7CD3" w:rsidRDefault="00FD7CD3" w:rsidP="001C3DDE">
      <w:pPr>
        <w:pStyle w:val="a4"/>
        <w:spacing w:line="360" w:lineRule="auto"/>
      </w:pPr>
      <w:r>
        <w:t xml:space="preserve">       </w:t>
      </w:r>
      <w:r>
        <w:t xml:space="preserve">В последние несколько лет школьное образование во всем мире отходит от традиционной ориентации на формирование предметных знаний и умений, стараясь создать условия для развития современных ключевых компетенций, или навыков, XXI в. Несмотря на различные конфигурации этих навыков в тех или иных моделях навыков и образовательных результатов XXI в., их набор остается достаточно устойчивым. Помимо собственно предметных умений, или грамотностей, </w:t>
      </w:r>
      <w:proofErr w:type="spellStart"/>
      <w:r>
        <w:t>Partnership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21st </w:t>
      </w:r>
      <w:proofErr w:type="spellStart"/>
      <w:r>
        <w:t>Century</w:t>
      </w:r>
      <w:proofErr w:type="spellEnd"/>
      <w:r>
        <w:t xml:space="preserve"> Learning2 предлагает рамку для умений XXI в., в которой выделяются «инновационные умения» — критическое мышление и решение проблем, креативность и </w:t>
      </w:r>
      <w:proofErr w:type="spellStart"/>
      <w:r>
        <w:t>инновационность</w:t>
      </w:r>
      <w:proofErr w:type="spellEnd"/>
      <w:r>
        <w:t xml:space="preserve">, коммуникация и </w:t>
      </w:r>
      <w:proofErr w:type="spellStart"/>
      <w:r>
        <w:t>коллаборация</w:t>
      </w:r>
      <w:proofErr w:type="spellEnd"/>
      <w:r>
        <w:t>, а также большой набор умений «жизненных» или «карьерных</w:t>
      </w:r>
      <w:proofErr w:type="gramStart"/>
      <w:r>
        <w:t>»</w:t>
      </w:r>
      <w:r>
        <w:t>.</w:t>
      </w:r>
      <w:r w:rsidRPr="00FD7CD3">
        <w:t>[</w:t>
      </w:r>
      <w:proofErr w:type="gramEnd"/>
      <w:r w:rsidRPr="00FD7CD3">
        <w:t xml:space="preserve">2, </w:t>
      </w:r>
      <w:r>
        <w:rPr>
          <w:lang w:val="en-US"/>
        </w:rPr>
        <w:t>c</w:t>
      </w:r>
      <w:r w:rsidRPr="00FD7CD3">
        <w:t xml:space="preserve"> 6]</w:t>
      </w:r>
    </w:p>
    <w:p w:rsidR="00482F39" w:rsidRPr="00482F39" w:rsidRDefault="00FD7CD3" w:rsidP="001C3DDE">
      <w:pPr>
        <w:pStyle w:val="a4"/>
        <w:spacing w:line="360" w:lineRule="auto"/>
      </w:pPr>
      <w:r w:rsidRPr="00FD7CD3">
        <w:t xml:space="preserve">  </w:t>
      </w:r>
      <w:r>
        <w:t>Известен ряд исследований, целью которых было выяснить, на какие компетенции ориентируется профессиональное сообщество, что разные страны закладывают в национальную образовательную повестку. Одно из них бы</w:t>
      </w:r>
      <w:r w:rsidR="00482F39">
        <w:t>ло проведено в странах Азиатско-Тихоокеанского региона, к числу которых принадлежат современные лидеры образования — Гонконг, Южная Корея, Сингапур, Япония, быстро поднимающийся в мировом рейтинге обр</w:t>
      </w:r>
      <w:r w:rsidR="00482F39">
        <w:t>азовательных достижений Вьетнам</w:t>
      </w:r>
      <w:r w:rsidR="00482F39">
        <w:t xml:space="preserve">. </w:t>
      </w:r>
      <w:r w:rsidR="00482F39" w:rsidRPr="00482F39">
        <w:t>[3]</w:t>
      </w:r>
    </w:p>
    <w:p w:rsidR="00FD7CD3" w:rsidRDefault="00482F39" w:rsidP="001C3DDE">
      <w:pPr>
        <w:pStyle w:val="a4"/>
        <w:spacing w:line="360" w:lineRule="auto"/>
      </w:pPr>
      <w:r w:rsidRPr="00482F39">
        <w:t xml:space="preserve">       </w:t>
      </w:r>
      <w:r>
        <w:t>Исследователи изучили документы, определяющие образовательную политику и образовательные стандарты этих стран, и выделили наиболее часто встречающиеся в них компетенции, ценности, установки и другие образовательные результаты, которые должны сформироваться у учащихся.</w:t>
      </w:r>
      <w:r w:rsidRPr="00482F39">
        <w:t xml:space="preserve"> </w:t>
      </w:r>
      <w:r>
        <w:lastRenderedPageBreak/>
        <w:t>Среди них первые позиции занимают критическое и инновационное или креативное мышление, умение управлять собой и взаимодействовать с другими</w:t>
      </w:r>
      <w:r w:rsidRPr="00482F39">
        <w:t>.</w:t>
      </w:r>
    </w:p>
    <w:p w:rsidR="00482F39" w:rsidRPr="00482F39" w:rsidRDefault="00482F39" w:rsidP="001C3DDE">
      <w:pPr>
        <w:pStyle w:val="a4"/>
        <w:spacing w:line="360" w:lineRule="auto"/>
      </w:pPr>
      <w:r w:rsidRPr="00482F39">
        <w:t xml:space="preserve">  </w:t>
      </w:r>
      <w:r>
        <w:t>Аналогичное исследование, проведенное в 152 странах, показало, что наиболее часто в документах говорится о таких компетенциях, как коммуникация, креативность, критическое мышление и решение проблем</w:t>
      </w:r>
      <w:r>
        <w:t>.</w:t>
      </w:r>
      <w:r w:rsidRPr="00482F39">
        <w:t xml:space="preserve"> </w:t>
      </w:r>
      <w:r>
        <w:t>[</w:t>
      </w:r>
      <w:r w:rsidRPr="00482F39">
        <w:t>4]</w:t>
      </w:r>
    </w:p>
    <w:p w:rsidR="00482F39" w:rsidRDefault="00482F39" w:rsidP="001C3DDE">
      <w:pPr>
        <w:pStyle w:val="a4"/>
        <w:spacing w:line="360" w:lineRule="auto"/>
      </w:pPr>
      <w:r w:rsidRPr="00482F39">
        <w:t xml:space="preserve">   </w:t>
      </w:r>
      <w:r>
        <w:t>Если мы хотим помочь учащимся развивать эти важнейшие компетенции, необходимо так организовать учебный процесс, чтобы они делали это постоянно. Любой школьный урок — это место, где ученики могут не только осваивать содержание предмета, но и развивать способности самостоятельно приобретать и создавать знания и, что не менее важно, учиться управлять собой и работать в команде.</w:t>
      </w:r>
    </w:p>
    <w:p w:rsidR="00482F39" w:rsidRDefault="00482F39" w:rsidP="001C3DDE">
      <w:pPr>
        <w:pStyle w:val="a4"/>
        <w:spacing w:line="360" w:lineRule="auto"/>
      </w:pPr>
      <w:r w:rsidRPr="00482F39">
        <w:t xml:space="preserve">   </w:t>
      </w:r>
      <w:r>
        <w:t xml:space="preserve">В западной педагогике </w:t>
      </w:r>
      <w:proofErr w:type="spellStart"/>
      <w:r>
        <w:t>компетентностные</w:t>
      </w:r>
      <w:proofErr w:type="spellEnd"/>
      <w:r>
        <w:t xml:space="preserve"> педагогические цели, ценности и соответствующие технологии обучения и тестирования органично выросли из размышлений и действий, направленных именно на прео</w:t>
      </w:r>
      <w:r>
        <w:t xml:space="preserve">доление недостатков </w:t>
      </w:r>
      <w:proofErr w:type="gramStart"/>
      <w:r>
        <w:t>образования</w:t>
      </w:r>
      <w:r>
        <w:t xml:space="preserve"> .</w:t>
      </w:r>
      <w:proofErr w:type="gramEnd"/>
      <w:r>
        <w:t xml:space="preserve"> К примеру, способность общаться с людьми, самостоятельно решать возникающие проблемы и т.д. – это универсальные качества, не зависящие от сферы профессиональной деятельности и сфера образования, являясь традиционно консервативной системой, их не развивает: «Школа, ориентирующаяся сугубо на знания, с точки зрения новы</w:t>
      </w:r>
      <w:r>
        <w:t>х запросов мира труда, устарела.</w:t>
      </w:r>
    </w:p>
    <w:p w:rsidR="004625B7" w:rsidRDefault="004625B7" w:rsidP="001C3DDE">
      <w:pPr>
        <w:pStyle w:val="a4"/>
        <w:spacing w:line="360" w:lineRule="auto"/>
      </w:pPr>
      <w:r w:rsidRPr="004625B7">
        <w:t xml:space="preserve">   </w:t>
      </w:r>
      <w:r>
        <w:t xml:space="preserve">Развитие компетенций в рамках образования многие исследователи связывают с трансформированием современного общества и, в особенности, сферы труда. Эти изменения в свою очередь объединены с небывалыми темпами научно-технического прогресса, стремительным совершенствованием технологий практически во всех областях науки и техники. По данным ученых, количество информации каждые пятнадцать, а </w:t>
      </w:r>
      <w:r>
        <w:t>теперь и менее, лет удваивается [5, c 54]</w:t>
      </w:r>
    </w:p>
    <w:p w:rsidR="004625B7" w:rsidRPr="004625B7" w:rsidRDefault="004625B7" w:rsidP="001C3DDE">
      <w:pPr>
        <w:pStyle w:val="a4"/>
        <w:spacing w:line="360" w:lineRule="auto"/>
      </w:pPr>
      <w:r w:rsidRPr="004625B7">
        <w:t xml:space="preserve">  </w:t>
      </w:r>
      <w:r>
        <w:t xml:space="preserve">Таким образом, можно констатировать, что к настоящему времени в науке достаточно эффективно разрабатывается и разносторонне рассматривается </w:t>
      </w:r>
      <w:r>
        <w:lastRenderedPageBreak/>
        <w:t xml:space="preserve">проблема компетентности и поиск оснований реализации </w:t>
      </w:r>
      <w:proofErr w:type="spellStart"/>
      <w:r>
        <w:t>компетентностного</w:t>
      </w:r>
      <w:proofErr w:type="spellEnd"/>
      <w:r>
        <w:t xml:space="preserve"> подхода в образовании. Сегодняшний день наметил, с одной стороны, необходимость, а с другой, неизбежность реализации </w:t>
      </w:r>
      <w:proofErr w:type="spellStart"/>
      <w:r>
        <w:t>компетентностного</w:t>
      </w:r>
      <w:proofErr w:type="spellEnd"/>
      <w:r>
        <w:t xml:space="preserve"> подхода</w:t>
      </w:r>
      <w:r>
        <w:t>.</w:t>
      </w:r>
      <w:bookmarkStart w:id="0" w:name="_GoBack"/>
      <w:bookmarkEnd w:id="0"/>
    </w:p>
    <w:p w:rsidR="004625B7" w:rsidRPr="004625B7" w:rsidRDefault="004625B7" w:rsidP="001C3DDE">
      <w:pPr>
        <w:pStyle w:val="a4"/>
        <w:spacing w:line="360" w:lineRule="auto"/>
      </w:pPr>
    </w:p>
    <w:p w:rsidR="004625B7" w:rsidRDefault="004625B7" w:rsidP="001C3DDE">
      <w:pPr>
        <w:pStyle w:val="a4"/>
        <w:spacing w:line="360" w:lineRule="auto"/>
      </w:pPr>
    </w:p>
    <w:p w:rsidR="001C3DDE" w:rsidRPr="00482F39" w:rsidRDefault="001C3DDE" w:rsidP="001C3DDE">
      <w:pPr>
        <w:pStyle w:val="a4"/>
        <w:spacing w:line="360" w:lineRule="auto"/>
        <w:rPr>
          <w:b/>
        </w:rPr>
      </w:pPr>
      <w:r w:rsidRPr="00482F39">
        <w:rPr>
          <w:b/>
        </w:rPr>
        <w:t>Список литературы:</w:t>
      </w:r>
    </w:p>
    <w:p w:rsidR="001C3DDE" w:rsidRDefault="001C3DDE" w:rsidP="00FD7CD3">
      <w:pPr>
        <w:pStyle w:val="a4"/>
        <w:numPr>
          <w:ilvl w:val="0"/>
          <w:numId w:val="2"/>
        </w:numPr>
        <w:spacing w:line="360" w:lineRule="auto"/>
      </w:pPr>
      <w:r>
        <w:t xml:space="preserve">Абакумова, Н. Н. </w:t>
      </w:r>
      <w:proofErr w:type="spellStart"/>
      <w:r>
        <w:t>Компетентностный</w:t>
      </w:r>
      <w:proofErr w:type="spellEnd"/>
      <w:r>
        <w:t xml:space="preserve"> подход в образовании: организация и диагностика / Н. Н. Абакумов, И. Ю. Малкова. – Томск: Томский государственный университет, 2007. – 368 с.</w:t>
      </w:r>
    </w:p>
    <w:p w:rsidR="00FD7CD3" w:rsidRPr="00482F39" w:rsidRDefault="00FD7CD3" w:rsidP="00FD7CD3">
      <w:pPr>
        <w:pStyle w:val="a4"/>
        <w:numPr>
          <w:ilvl w:val="0"/>
          <w:numId w:val="2"/>
        </w:numPr>
        <w:spacing w:line="360" w:lineRule="auto"/>
        <w:rPr>
          <w:rFonts w:cs="Times New Roman"/>
          <w:b/>
          <w:szCs w:val="28"/>
        </w:rPr>
      </w:pPr>
      <w:r>
        <w:t xml:space="preserve">Компетенции «4К»: формирование и оценка на </w:t>
      </w:r>
      <w:proofErr w:type="gramStart"/>
      <w:r>
        <w:t>уроке :</w:t>
      </w:r>
      <w:proofErr w:type="gramEnd"/>
      <w:r>
        <w:t xml:space="preserve"> Практические рекомендации / авт.-сост. М. А. </w:t>
      </w:r>
      <w:proofErr w:type="spellStart"/>
      <w:r>
        <w:t>Пинская</w:t>
      </w:r>
      <w:proofErr w:type="spellEnd"/>
      <w:r>
        <w:t xml:space="preserve">, А. М. Михайлова. — </w:t>
      </w:r>
      <w:proofErr w:type="gramStart"/>
      <w:r>
        <w:t>М. :</w:t>
      </w:r>
      <w:proofErr w:type="gramEnd"/>
      <w:r>
        <w:t xml:space="preserve"> Корпорация «Российский учебник», 2019. — 76</w:t>
      </w:r>
    </w:p>
    <w:p w:rsidR="00482F39" w:rsidRPr="00482F39" w:rsidRDefault="00482F39" w:rsidP="00482F39">
      <w:pPr>
        <w:pStyle w:val="a4"/>
        <w:numPr>
          <w:ilvl w:val="0"/>
          <w:numId w:val="2"/>
        </w:numPr>
        <w:spacing w:line="360" w:lineRule="auto"/>
        <w:rPr>
          <w:rFonts w:cs="Times New Roman"/>
          <w:b/>
          <w:szCs w:val="28"/>
          <w:lang w:val="en-US"/>
        </w:rPr>
      </w:pPr>
      <w:r w:rsidRPr="00482F39">
        <w:rPr>
          <w:lang w:val="en-US"/>
        </w:rPr>
        <w:t>UNESCO. School and teaching practices for twenty-first century challenges: lessons from the Asia-Pacific region, regional synthesis report. — 2016.</w:t>
      </w:r>
    </w:p>
    <w:p w:rsidR="00482F39" w:rsidRPr="004625B7" w:rsidRDefault="00482F39" w:rsidP="00482F39">
      <w:pPr>
        <w:pStyle w:val="a4"/>
        <w:numPr>
          <w:ilvl w:val="0"/>
          <w:numId w:val="2"/>
        </w:numPr>
        <w:spacing w:line="360" w:lineRule="auto"/>
        <w:rPr>
          <w:rFonts w:cs="Times New Roman"/>
          <w:b/>
          <w:szCs w:val="28"/>
          <w:lang w:val="en-US"/>
        </w:rPr>
      </w:pPr>
      <w:r w:rsidRPr="00482F39">
        <w:rPr>
          <w:lang w:val="en-US"/>
        </w:rPr>
        <w:t>Care E., Kim H., Vista A., Anderson K. Education System Alignment for 21st century skills: Focus On Assessment. — Brookings institution, 2018.</w:t>
      </w:r>
    </w:p>
    <w:p w:rsidR="004625B7" w:rsidRPr="004625B7" w:rsidRDefault="004625B7" w:rsidP="00482F39">
      <w:pPr>
        <w:pStyle w:val="a4"/>
        <w:numPr>
          <w:ilvl w:val="0"/>
          <w:numId w:val="2"/>
        </w:numPr>
        <w:spacing w:line="360" w:lineRule="auto"/>
        <w:rPr>
          <w:rFonts w:cs="Times New Roman"/>
          <w:b/>
          <w:szCs w:val="28"/>
        </w:rPr>
      </w:pPr>
      <w:r>
        <w:t>Краевский В.В. Проблемы научного обоснования обучения (Методологический анализ). М.: Педагогика, 1977. – 264 с.; Краевский В.В., Полонский В.М. Методология для педагога: теория и практика. – Волгоград: Перемена, 2001. – 323 с.</w:t>
      </w:r>
    </w:p>
    <w:sectPr w:rsidR="004625B7" w:rsidRPr="0046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0FF4"/>
    <w:multiLevelType w:val="multilevel"/>
    <w:tmpl w:val="6C8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E4243"/>
    <w:multiLevelType w:val="hybridMultilevel"/>
    <w:tmpl w:val="35E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EF"/>
    <w:rsid w:val="001C3DDE"/>
    <w:rsid w:val="004625B7"/>
    <w:rsid w:val="00482F39"/>
    <w:rsid w:val="00C51FEF"/>
    <w:rsid w:val="00F64DE3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FC36"/>
  <w15:chartTrackingRefBased/>
  <w15:docId w15:val="{5E804853-1E2D-4A74-85BF-63EAB2FC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FE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FE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51FEF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C51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8974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664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bmihail2018@gmail.com" TargetMode="External"/><Relationship Id="rId5" Type="http://schemas.openxmlformats.org/officeDocument/2006/relationships/hyperlink" Target="mailto:gribmihail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2021-11-20T12:03:00Z</dcterms:created>
  <dcterms:modified xsi:type="dcterms:W3CDTF">2021-11-20T12:51:00Z</dcterms:modified>
</cp:coreProperties>
</file>