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5867" w:rsidRPr="00C02237" w:rsidRDefault="00615867" w:rsidP="00615867">
      <w:pPr>
        <w:spacing w:line="360" w:lineRule="auto"/>
        <w:jc w:val="center"/>
        <w:rPr>
          <w:rFonts w:ascii="Times New Roman" w:hAnsi="Times New Roman" w:cs="Times New Roman"/>
          <w:sz w:val="28"/>
          <w:szCs w:val="28"/>
        </w:rPr>
      </w:pPr>
      <w:r w:rsidRPr="00C02237">
        <w:rPr>
          <w:rFonts w:ascii="Times New Roman" w:hAnsi="Times New Roman" w:cs="Times New Roman"/>
          <w:sz w:val="28"/>
          <w:szCs w:val="28"/>
        </w:rPr>
        <w:t>Муниципальное автономное дошкольное образовательное учреждение города Когалыма «Сказка»</w:t>
      </w:r>
    </w:p>
    <w:p w:rsidR="00615867" w:rsidRPr="00C02237" w:rsidRDefault="00615867" w:rsidP="00615867">
      <w:pPr>
        <w:spacing w:line="360" w:lineRule="auto"/>
        <w:jc w:val="center"/>
        <w:rPr>
          <w:rFonts w:ascii="Times New Roman" w:hAnsi="Times New Roman" w:cs="Times New Roman"/>
          <w:b/>
          <w:sz w:val="28"/>
          <w:szCs w:val="28"/>
        </w:rPr>
      </w:pPr>
    </w:p>
    <w:p w:rsidR="00615867" w:rsidRPr="00C02237" w:rsidRDefault="00615867" w:rsidP="00615867">
      <w:pPr>
        <w:spacing w:line="360" w:lineRule="auto"/>
        <w:jc w:val="center"/>
        <w:rPr>
          <w:rFonts w:ascii="Times New Roman" w:hAnsi="Times New Roman" w:cs="Times New Roman"/>
          <w:b/>
          <w:sz w:val="28"/>
          <w:szCs w:val="28"/>
        </w:rPr>
      </w:pPr>
    </w:p>
    <w:p w:rsidR="00615867" w:rsidRPr="00C02237" w:rsidRDefault="00615867" w:rsidP="00615867">
      <w:pPr>
        <w:spacing w:line="360" w:lineRule="auto"/>
        <w:jc w:val="center"/>
        <w:rPr>
          <w:rFonts w:ascii="Times New Roman" w:hAnsi="Times New Roman" w:cs="Times New Roman"/>
          <w:b/>
          <w:sz w:val="28"/>
          <w:szCs w:val="28"/>
        </w:rPr>
      </w:pPr>
    </w:p>
    <w:p w:rsidR="00615867" w:rsidRPr="00C02237" w:rsidRDefault="00615867" w:rsidP="00615867">
      <w:pPr>
        <w:spacing w:line="360" w:lineRule="auto"/>
        <w:jc w:val="center"/>
        <w:rPr>
          <w:rFonts w:ascii="Times New Roman" w:hAnsi="Times New Roman" w:cs="Times New Roman"/>
          <w:b/>
          <w:sz w:val="28"/>
          <w:szCs w:val="28"/>
        </w:rPr>
      </w:pPr>
    </w:p>
    <w:p w:rsidR="00615867" w:rsidRPr="00C02237" w:rsidRDefault="00615867" w:rsidP="00615867">
      <w:pPr>
        <w:spacing w:line="360" w:lineRule="auto"/>
        <w:jc w:val="center"/>
        <w:rPr>
          <w:rFonts w:ascii="Times New Roman" w:hAnsi="Times New Roman" w:cs="Times New Roman"/>
          <w:b/>
          <w:sz w:val="28"/>
          <w:szCs w:val="28"/>
        </w:rPr>
      </w:pPr>
    </w:p>
    <w:p w:rsidR="00615867" w:rsidRPr="00C02237" w:rsidRDefault="00615867" w:rsidP="00615867">
      <w:pPr>
        <w:spacing w:line="360" w:lineRule="auto"/>
        <w:jc w:val="center"/>
        <w:rPr>
          <w:rFonts w:ascii="Times New Roman" w:hAnsi="Times New Roman" w:cs="Times New Roman"/>
          <w:b/>
          <w:sz w:val="28"/>
          <w:szCs w:val="28"/>
        </w:rPr>
      </w:pPr>
    </w:p>
    <w:p w:rsidR="00615867" w:rsidRPr="00C02237" w:rsidRDefault="00615867" w:rsidP="00615867">
      <w:pPr>
        <w:spacing w:line="360" w:lineRule="auto"/>
        <w:jc w:val="center"/>
        <w:rPr>
          <w:rFonts w:ascii="Times New Roman" w:hAnsi="Times New Roman" w:cs="Times New Roman"/>
          <w:b/>
          <w:sz w:val="28"/>
          <w:szCs w:val="28"/>
        </w:rPr>
      </w:pPr>
      <w:bookmarkStart w:id="0" w:name="_GoBack"/>
      <w:bookmarkEnd w:id="0"/>
    </w:p>
    <w:p w:rsidR="00615867" w:rsidRPr="00C02237" w:rsidRDefault="00615867" w:rsidP="00615867">
      <w:pPr>
        <w:spacing w:after="0" w:line="276" w:lineRule="auto"/>
        <w:jc w:val="both"/>
        <w:rPr>
          <w:rFonts w:ascii="Times New Roman" w:hAnsi="Times New Roman" w:cs="Times New Roman"/>
          <w:b/>
          <w:sz w:val="28"/>
          <w:szCs w:val="28"/>
        </w:rPr>
      </w:pPr>
      <w:r w:rsidRPr="00C02237">
        <w:rPr>
          <w:rFonts w:ascii="Times New Roman" w:hAnsi="Times New Roman" w:cs="Times New Roman"/>
          <w:b/>
          <w:sz w:val="28"/>
          <w:szCs w:val="28"/>
        </w:rPr>
        <w:t xml:space="preserve"> «Использование ТРИЗ технологий на занятиях по развитию речи – метод «системный оператор»</w:t>
      </w:r>
    </w:p>
    <w:p w:rsidR="00615867" w:rsidRPr="00C02237" w:rsidRDefault="00615867" w:rsidP="00615867">
      <w:pPr>
        <w:spacing w:line="360" w:lineRule="auto"/>
        <w:jc w:val="center"/>
        <w:rPr>
          <w:rFonts w:ascii="Times New Roman" w:hAnsi="Times New Roman" w:cs="Times New Roman"/>
          <w:b/>
          <w:sz w:val="28"/>
          <w:szCs w:val="28"/>
        </w:rPr>
      </w:pPr>
      <w:r w:rsidRPr="00C02237">
        <w:rPr>
          <w:rFonts w:ascii="Times New Roman" w:hAnsi="Times New Roman" w:cs="Times New Roman"/>
          <w:b/>
          <w:sz w:val="28"/>
          <w:szCs w:val="28"/>
        </w:rPr>
        <w:t xml:space="preserve">  </w:t>
      </w: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i/>
          <w:sz w:val="28"/>
          <w:szCs w:val="28"/>
        </w:rPr>
      </w:pPr>
    </w:p>
    <w:p w:rsidR="00615867" w:rsidRPr="00C02237" w:rsidRDefault="00615867" w:rsidP="00615867">
      <w:pPr>
        <w:spacing w:after="0" w:line="240" w:lineRule="auto"/>
        <w:jc w:val="right"/>
        <w:rPr>
          <w:rFonts w:ascii="Times New Roman" w:hAnsi="Times New Roman" w:cs="Times New Roman"/>
          <w:sz w:val="28"/>
          <w:szCs w:val="28"/>
        </w:rPr>
      </w:pPr>
      <w:r w:rsidRPr="00C02237">
        <w:rPr>
          <w:rFonts w:ascii="Times New Roman" w:hAnsi="Times New Roman" w:cs="Times New Roman"/>
          <w:sz w:val="28"/>
          <w:szCs w:val="28"/>
        </w:rPr>
        <w:t xml:space="preserve">Воспитатель </w:t>
      </w:r>
    </w:p>
    <w:p w:rsidR="00615867" w:rsidRPr="00C02237" w:rsidRDefault="00615867" w:rsidP="00615867">
      <w:pPr>
        <w:spacing w:after="0" w:line="240" w:lineRule="auto"/>
        <w:jc w:val="right"/>
        <w:rPr>
          <w:rFonts w:ascii="Times New Roman" w:hAnsi="Times New Roman" w:cs="Times New Roman"/>
          <w:sz w:val="28"/>
          <w:szCs w:val="28"/>
        </w:rPr>
      </w:pPr>
      <w:r w:rsidRPr="00C02237">
        <w:rPr>
          <w:rFonts w:ascii="Times New Roman" w:hAnsi="Times New Roman" w:cs="Times New Roman"/>
          <w:sz w:val="28"/>
          <w:szCs w:val="28"/>
        </w:rPr>
        <w:t>Шаповалова С.В.</w:t>
      </w:r>
    </w:p>
    <w:p w:rsidR="00615867" w:rsidRPr="00C02237" w:rsidRDefault="00615867" w:rsidP="00615867">
      <w:pPr>
        <w:spacing w:line="360" w:lineRule="auto"/>
        <w:jc w:val="center"/>
        <w:rPr>
          <w:rFonts w:ascii="Times New Roman" w:hAnsi="Times New Roman" w:cs="Times New Roman"/>
          <w:b/>
          <w:sz w:val="28"/>
          <w:szCs w:val="28"/>
        </w:rPr>
      </w:pPr>
    </w:p>
    <w:p w:rsidR="00615867" w:rsidRPr="00C02237" w:rsidRDefault="00615867" w:rsidP="00615867">
      <w:pPr>
        <w:spacing w:line="360" w:lineRule="auto"/>
        <w:jc w:val="center"/>
        <w:rPr>
          <w:rFonts w:ascii="Times New Roman" w:hAnsi="Times New Roman" w:cs="Times New Roman"/>
          <w:b/>
          <w:sz w:val="28"/>
          <w:szCs w:val="28"/>
        </w:rPr>
      </w:pPr>
    </w:p>
    <w:p w:rsidR="00615867" w:rsidRPr="00C02237" w:rsidRDefault="00615867" w:rsidP="00615867">
      <w:pPr>
        <w:spacing w:line="360" w:lineRule="auto"/>
        <w:jc w:val="center"/>
        <w:rPr>
          <w:rFonts w:ascii="Times New Roman" w:hAnsi="Times New Roman" w:cs="Times New Roman"/>
          <w:b/>
          <w:sz w:val="28"/>
          <w:szCs w:val="28"/>
        </w:rPr>
      </w:pPr>
    </w:p>
    <w:p w:rsidR="00615867" w:rsidRPr="00C02237" w:rsidRDefault="00C02237" w:rsidP="00C02237">
      <w:pPr>
        <w:spacing w:line="360" w:lineRule="auto"/>
        <w:rPr>
          <w:rFonts w:ascii="Times New Roman" w:hAnsi="Times New Roman" w:cs="Times New Roman"/>
          <w:sz w:val="28"/>
          <w:szCs w:val="28"/>
        </w:rPr>
      </w:pPr>
      <w:r>
        <w:rPr>
          <w:rFonts w:ascii="Times New Roman" w:hAnsi="Times New Roman" w:cs="Times New Roman"/>
          <w:b/>
          <w:sz w:val="28"/>
          <w:szCs w:val="28"/>
        </w:rPr>
        <w:t xml:space="preserve">                                                   </w:t>
      </w:r>
      <w:r w:rsidR="00615867" w:rsidRPr="00C02237">
        <w:rPr>
          <w:rFonts w:ascii="Times New Roman" w:hAnsi="Times New Roman" w:cs="Times New Roman"/>
          <w:sz w:val="28"/>
          <w:szCs w:val="28"/>
        </w:rPr>
        <w:t>Когалым 2020 г</w:t>
      </w:r>
    </w:p>
    <w:p w:rsidR="00C02237" w:rsidRPr="00C02237" w:rsidRDefault="00C02237" w:rsidP="00C02237">
      <w:pPr>
        <w:spacing w:line="276" w:lineRule="auto"/>
        <w:jc w:val="center"/>
        <w:rPr>
          <w:rFonts w:ascii="Times New Roman" w:hAnsi="Times New Roman" w:cs="Times New Roman"/>
          <w:sz w:val="24"/>
          <w:szCs w:val="24"/>
        </w:rPr>
      </w:pP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 xml:space="preserve">Одним из основных показателей уровня развития ребёнка можно считать богатство его речи. Исходя из практики работы, с уверенностью могу сказать, что математика дошкольникам «даётся» намного легче, нежели развитие речи. Даже при подборе определений к предметам дети чаще говорят, какого предмет цвета или формы, размера, а то, что «перец может быть горький, сладкий, жгучий…» или «яблоко ароматным, кислым, надкусанным, очищенным…» знает, к сожалению, не каждый ребёнок. </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xml:space="preserve">Образовательная деятельность, проводимая по традиционной методике однообразна и скучна как для детей, так и для меня самой, как педагога. Однажды применив на практике несколько методов и приёмов ТРИЗ-технологии, решила использовать её (технологию) и в дальнейшей своей работе. Одной из  целей ТРИЗ-образования для дошкольников являются: формирование связной речи на основе активизации творческого мышления </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В решении изобретательских задач ТРИЗ используются различные методы и приёмы. Сегодня хочу рассказать об одном из таких методов «Системном операторе».</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Системный оператор - это одно из первых упражнений развития системного логического мышления, позволяющее видеть объект одновременно в структурном, функциональном, временном аспектах, а также его антисистему.</w:t>
      </w:r>
    </w:p>
    <w:p w:rsidR="008A7937" w:rsidRPr="00C02237" w:rsidRDefault="008A7937" w:rsidP="00C02237">
      <w:pPr>
        <w:spacing w:after="0" w:line="276" w:lineRule="auto"/>
        <w:ind w:firstLine="708"/>
        <w:jc w:val="both"/>
        <w:rPr>
          <w:rFonts w:ascii="Times New Roman" w:hAnsi="Times New Roman" w:cs="Times New Roman"/>
          <w:sz w:val="24"/>
          <w:szCs w:val="24"/>
          <w:shd w:val="clear" w:color="auto" w:fill="FFFFFF"/>
        </w:rPr>
      </w:pPr>
      <w:r w:rsidRPr="00C02237">
        <w:rPr>
          <w:rFonts w:ascii="Times New Roman" w:hAnsi="Times New Roman" w:cs="Times New Roman"/>
          <w:sz w:val="24"/>
          <w:szCs w:val="24"/>
        </w:rPr>
        <w:t xml:space="preserve">Работа по использованию метода ТРИЗ «Системный оператор» осуществляется с помощью таблицы, которая носит название </w:t>
      </w:r>
      <w:r w:rsidR="00615867" w:rsidRPr="00C02237">
        <w:rPr>
          <w:rFonts w:ascii="Times New Roman" w:hAnsi="Times New Roman" w:cs="Times New Roman"/>
          <w:sz w:val="24"/>
          <w:szCs w:val="24"/>
        </w:rPr>
        <w:t xml:space="preserve">«системный оператор». </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 xml:space="preserve">В подготовительной группе начинаем работу с полной версией «системного оператора» - «девятиэкранкой», знакомим с настоящим названием - «системный оператор». </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noProof/>
          <w:sz w:val="24"/>
          <w:szCs w:val="24"/>
          <w:lang w:eastAsia="ru-RU"/>
        </w:rPr>
        <w:drawing>
          <wp:inline distT="0" distB="0" distL="0" distR="0">
            <wp:extent cx="4762500" cy="2857500"/>
            <wp:effectExtent l="0" t="0" r="0" b="0"/>
            <wp:docPr id="1" name="Рисунок 1" descr="https://kssovushka.ru/uploads/images/39394%D0%9F1.%D0%91.2017.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kssovushka.ru/uploads/images/39394%D0%9F1.%D0%91.2017.4-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2500" cy="2857500"/>
                    </a:xfrm>
                    <a:prstGeom prst="rect">
                      <a:avLst/>
                    </a:prstGeom>
                    <a:noFill/>
                    <a:ln>
                      <a:noFill/>
                    </a:ln>
                  </pic:spPr>
                </pic:pic>
              </a:graphicData>
            </a:graphic>
          </wp:inline>
        </w:drawing>
      </w:r>
    </w:p>
    <w:p w:rsidR="008A7937" w:rsidRPr="00C02237" w:rsidRDefault="008A7937" w:rsidP="00C02237">
      <w:pPr>
        <w:spacing w:after="0" w:line="276" w:lineRule="auto"/>
        <w:jc w:val="both"/>
        <w:rPr>
          <w:rFonts w:ascii="Times New Roman" w:hAnsi="Times New Roman" w:cs="Times New Roman"/>
          <w:sz w:val="24"/>
          <w:szCs w:val="24"/>
        </w:rPr>
      </w:pP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А поскольку в ТРИЗе все волшебно и загадочно, в каждом окошке находится какая – то загадка или тайна:</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В окошке №1 находится то, что нас окружает. Это что – то нужно узнать и ответить   на вопрос: «Кто (что) это? Что делает?</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В окошке № 2 – это что-то нужно внимательно рассмотреть, чтобы   рассказать: какое оно, из чего состоит?</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В окошке № 3 мы должны подумать и сказать, где живет или находится объект?</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В окошке № 4 познакомимся с прошлым объекта.</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В окошке № 5 мы узнаем, каким он был раньше, из чего состоял.</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lastRenderedPageBreak/>
        <w:t>В окошке № 6 – где он жил в прошлом.</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В окошке № 7 представим, каким он может быть в будущем.</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В окошке № 8 – из чего он будет состоять в будущем.</w:t>
      </w:r>
    </w:p>
    <w:p w:rsidR="008A7937" w:rsidRPr="00C02237" w:rsidRDefault="008A7937" w:rsidP="00C02237">
      <w:pPr>
        <w:pStyle w:val="a3"/>
        <w:shd w:val="clear" w:color="auto" w:fill="FFFFFF"/>
        <w:spacing w:before="0" w:beforeAutospacing="0" w:after="0" w:afterAutospacing="0" w:line="276" w:lineRule="auto"/>
      </w:pPr>
      <w:r w:rsidRPr="00C02237">
        <w:t xml:space="preserve">В окошке № 9 – где он может жить или находиться в будущем. </w:t>
      </w:r>
    </w:p>
    <w:p w:rsidR="008A7937" w:rsidRPr="00C02237" w:rsidRDefault="008A7937" w:rsidP="00C02237">
      <w:pPr>
        <w:spacing w:after="0" w:line="276" w:lineRule="auto"/>
        <w:jc w:val="both"/>
        <w:rPr>
          <w:rFonts w:ascii="Times New Roman" w:hAnsi="Times New Roman" w:cs="Times New Roman"/>
          <w:sz w:val="24"/>
          <w:szCs w:val="24"/>
        </w:rPr>
      </w:pPr>
    </w:p>
    <w:p w:rsidR="008A7937" w:rsidRPr="00C02237" w:rsidRDefault="008A7937" w:rsidP="00C02237">
      <w:pPr>
        <w:pStyle w:val="a3"/>
        <w:shd w:val="clear" w:color="auto" w:fill="FFFFFF"/>
        <w:spacing w:before="0" w:beforeAutospacing="0" w:after="0" w:afterAutospacing="0" w:line="276" w:lineRule="auto"/>
        <w:ind w:firstLine="360"/>
      </w:pPr>
      <w:r w:rsidRPr="00C02237">
        <w:t>Составляя «Волшебный экран», мы с детьми играем. Но выполняя игровые действия, мы обязательно соблюдаем алгоритм деятельности – «мыслительные шаги». (Слайд 3) По сути, </w:t>
      </w:r>
      <w:r w:rsidRPr="00C02237">
        <w:rPr>
          <w:bCs/>
          <w:bdr w:val="none" w:sz="0" w:space="0" w:color="auto" w:frame="1"/>
        </w:rPr>
        <w:t>системный оператор</w:t>
      </w:r>
      <w:r w:rsidRPr="00C02237">
        <w:t> — это своеобразный шаблон для правильного мыслительного процесса. В нем заложены такие критерии анализа, </w:t>
      </w:r>
      <w:r w:rsidRPr="00C02237">
        <w:rPr>
          <w:u w:val="single"/>
          <w:bdr w:val="none" w:sz="0" w:space="0" w:color="auto" w:frame="1"/>
        </w:rPr>
        <w:t>как</w:t>
      </w:r>
      <w:r w:rsidRPr="00C02237">
        <w:t>:</w:t>
      </w:r>
    </w:p>
    <w:p w:rsidR="008A7937" w:rsidRPr="00C02237" w:rsidRDefault="008A7937" w:rsidP="00C02237">
      <w:pPr>
        <w:shd w:val="clear" w:color="auto" w:fill="FFFFFF"/>
        <w:spacing w:after="0" w:line="276" w:lineRule="auto"/>
        <w:ind w:firstLine="360"/>
        <w:rPr>
          <w:rFonts w:ascii="Times New Roman" w:eastAsia="Times New Roman" w:hAnsi="Times New Roman" w:cs="Times New Roman"/>
          <w:sz w:val="24"/>
          <w:szCs w:val="24"/>
          <w:lang w:eastAsia="ru-RU"/>
        </w:rPr>
      </w:pPr>
      <w:r w:rsidRPr="00C02237">
        <w:rPr>
          <w:rFonts w:ascii="Times New Roman" w:eastAsia="Times New Roman" w:hAnsi="Times New Roman" w:cs="Times New Roman"/>
          <w:sz w:val="24"/>
          <w:szCs w:val="24"/>
          <w:lang w:eastAsia="ru-RU"/>
        </w:rPr>
        <w:t>• </w:t>
      </w:r>
      <w:r w:rsidRPr="00C02237">
        <w:rPr>
          <w:rFonts w:ascii="Times New Roman" w:eastAsia="Times New Roman" w:hAnsi="Times New Roman" w:cs="Times New Roman"/>
          <w:bCs/>
          <w:sz w:val="24"/>
          <w:szCs w:val="24"/>
          <w:bdr w:val="none" w:sz="0" w:space="0" w:color="auto" w:frame="1"/>
          <w:lang w:eastAsia="ru-RU"/>
        </w:rPr>
        <w:t>Система</w:t>
      </w:r>
      <w:r w:rsidRPr="00C02237">
        <w:rPr>
          <w:rFonts w:ascii="Times New Roman" w:eastAsia="Times New Roman" w:hAnsi="Times New Roman" w:cs="Times New Roman"/>
          <w:sz w:val="24"/>
          <w:szCs w:val="24"/>
          <w:lang w:eastAsia="ru-RU"/>
        </w:rPr>
        <w:t>. Это тот объект, который мы и собираемся изучить или даже преобразовать.</w:t>
      </w:r>
    </w:p>
    <w:p w:rsidR="008A7937" w:rsidRPr="00C02237" w:rsidRDefault="008A7937" w:rsidP="00C02237">
      <w:pPr>
        <w:shd w:val="clear" w:color="auto" w:fill="FFFFFF"/>
        <w:spacing w:after="0" w:line="276" w:lineRule="auto"/>
        <w:ind w:firstLine="360"/>
        <w:rPr>
          <w:rFonts w:ascii="Times New Roman" w:eastAsia="Times New Roman" w:hAnsi="Times New Roman" w:cs="Times New Roman"/>
          <w:sz w:val="24"/>
          <w:szCs w:val="24"/>
          <w:lang w:eastAsia="ru-RU"/>
        </w:rPr>
      </w:pPr>
      <w:r w:rsidRPr="00C02237">
        <w:rPr>
          <w:rFonts w:ascii="Times New Roman" w:eastAsia="Times New Roman" w:hAnsi="Times New Roman" w:cs="Times New Roman"/>
          <w:sz w:val="24"/>
          <w:szCs w:val="24"/>
          <w:lang w:eastAsia="ru-RU"/>
        </w:rPr>
        <w:t>• </w:t>
      </w:r>
      <w:r w:rsidRPr="00C02237">
        <w:rPr>
          <w:rFonts w:ascii="Times New Roman" w:eastAsia="Times New Roman" w:hAnsi="Times New Roman" w:cs="Times New Roman"/>
          <w:bCs/>
          <w:sz w:val="24"/>
          <w:szCs w:val="24"/>
          <w:bdr w:val="none" w:sz="0" w:space="0" w:color="auto" w:frame="1"/>
          <w:lang w:eastAsia="ru-RU"/>
        </w:rPr>
        <w:t>Подсистема</w:t>
      </w:r>
      <w:r w:rsidRPr="00C02237">
        <w:rPr>
          <w:rFonts w:ascii="Times New Roman" w:eastAsia="Times New Roman" w:hAnsi="Times New Roman" w:cs="Times New Roman"/>
          <w:sz w:val="24"/>
          <w:szCs w:val="24"/>
          <w:lang w:eastAsia="ru-RU"/>
        </w:rPr>
        <w:t>. Это то, что входит в </w:t>
      </w:r>
      <w:r w:rsidRPr="00C02237">
        <w:rPr>
          <w:rFonts w:ascii="Times New Roman" w:eastAsia="Times New Roman" w:hAnsi="Times New Roman" w:cs="Times New Roman"/>
          <w:bCs/>
          <w:sz w:val="24"/>
          <w:szCs w:val="24"/>
          <w:bdr w:val="none" w:sz="0" w:space="0" w:color="auto" w:frame="1"/>
          <w:lang w:eastAsia="ru-RU"/>
        </w:rPr>
        <w:t>систему</w:t>
      </w:r>
      <w:r w:rsidRPr="00C02237">
        <w:rPr>
          <w:rFonts w:ascii="Times New Roman" w:eastAsia="Times New Roman" w:hAnsi="Times New Roman" w:cs="Times New Roman"/>
          <w:sz w:val="24"/>
          <w:szCs w:val="24"/>
          <w:lang w:eastAsia="ru-RU"/>
        </w:rPr>
        <w:t> — ее составляющие части.</w:t>
      </w:r>
    </w:p>
    <w:p w:rsidR="008A7937" w:rsidRPr="00C02237" w:rsidRDefault="008A7937" w:rsidP="00C02237">
      <w:pPr>
        <w:shd w:val="clear" w:color="auto" w:fill="FFFFFF"/>
        <w:spacing w:after="0" w:line="276" w:lineRule="auto"/>
        <w:ind w:firstLine="360"/>
        <w:rPr>
          <w:rFonts w:ascii="Times New Roman" w:eastAsia="Times New Roman" w:hAnsi="Times New Roman" w:cs="Times New Roman"/>
          <w:sz w:val="24"/>
          <w:szCs w:val="24"/>
          <w:lang w:eastAsia="ru-RU"/>
        </w:rPr>
      </w:pPr>
      <w:r w:rsidRPr="00C02237">
        <w:rPr>
          <w:rFonts w:ascii="Times New Roman" w:eastAsia="Times New Roman" w:hAnsi="Times New Roman" w:cs="Times New Roman"/>
          <w:sz w:val="24"/>
          <w:szCs w:val="24"/>
          <w:lang w:eastAsia="ru-RU"/>
        </w:rPr>
        <w:t>• </w:t>
      </w:r>
      <w:r w:rsidRPr="00C02237">
        <w:rPr>
          <w:rFonts w:ascii="Times New Roman" w:eastAsia="Times New Roman" w:hAnsi="Times New Roman" w:cs="Times New Roman"/>
          <w:bCs/>
          <w:sz w:val="24"/>
          <w:szCs w:val="24"/>
          <w:bdr w:val="none" w:sz="0" w:space="0" w:color="auto" w:frame="1"/>
          <w:lang w:eastAsia="ru-RU"/>
        </w:rPr>
        <w:t>Надсистема</w:t>
      </w:r>
      <w:r w:rsidRPr="00C02237">
        <w:rPr>
          <w:rFonts w:ascii="Times New Roman" w:eastAsia="Times New Roman" w:hAnsi="Times New Roman" w:cs="Times New Roman"/>
          <w:sz w:val="24"/>
          <w:szCs w:val="24"/>
          <w:lang w:eastAsia="ru-RU"/>
        </w:rPr>
        <w:t>. Это некая </w:t>
      </w:r>
      <w:r w:rsidRPr="00C02237">
        <w:rPr>
          <w:rFonts w:ascii="Times New Roman" w:eastAsia="Times New Roman" w:hAnsi="Times New Roman" w:cs="Times New Roman"/>
          <w:bCs/>
          <w:sz w:val="24"/>
          <w:szCs w:val="24"/>
          <w:bdr w:val="none" w:sz="0" w:space="0" w:color="auto" w:frame="1"/>
          <w:lang w:eastAsia="ru-RU"/>
        </w:rPr>
        <w:t>система</w:t>
      </w:r>
      <w:r w:rsidRPr="00C02237">
        <w:rPr>
          <w:rFonts w:ascii="Times New Roman" w:eastAsia="Times New Roman" w:hAnsi="Times New Roman" w:cs="Times New Roman"/>
          <w:sz w:val="24"/>
          <w:szCs w:val="24"/>
          <w:lang w:eastAsia="ru-RU"/>
        </w:rPr>
        <w:t> более высокого уровня, частью которой и является изучаемый нами объект.</w:t>
      </w:r>
    </w:p>
    <w:p w:rsidR="008A7937" w:rsidRPr="00C02237" w:rsidRDefault="008A7937" w:rsidP="00C02237">
      <w:pPr>
        <w:shd w:val="clear" w:color="auto" w:fill="FFFFFF"/>
        <w:spacing w:before="225" w:after="225" w:line="276" w:lineRule="auto"/>
        <w:ind w:firstLine="360"/>
        <w:rPr>
          <w:rFonts w:ascii="Times New Roman" w:eastAsia="Times New Roman" w:hAnsi="Times New Roman" w:cs="Times New Roman"/>
          <w:sz w:val="24"/>
          <w:szCs w:val="24"/>
          <w:lang w:eastAsia="ru-RU"/>
        </w:rPr>
      </w:pPr>
      <w:r w:rsidRPr="00C02237">
        <w:rPr>
          <w:rFonts w:ascii="Times New Roman" w:eastAsia="Times New Roman" w:hAnsi="Times New Roman" w:cs="Times New Roman"/>
          <w:sz w:val="24"/>
          <w:szCs w:val="24"/>
          <w:lang w:eastAsia="ru-RU"/>
        </w:rPr>
        <w:t>• Прошлое. Чем/кем объект был раньше? Каким были его свойства, возможности, задачи?</w:t>
      </w:r>
    </w:p>
    <w:p w:rsidR="008A7937" w:rsidRPr="00C02237" w:rsidRDefault="008A7937" w:rsidP="00C02237">
      <w:pPr>
        <w:shd w:val="clear" w:color="auto" w:fill="FFFFFF"/>
        <w:spacing w:before="225" w:after="225" w:line="276" w:lineRule="auto"/>
        <w:ind w:firstLine="360"/>
        <w:rPr>
          <w:rFonts w:ascii="Times New Roman" w:eastAsia="Times New Roman" w:hAnsi="Times New Roman" w:cs="Times New Roman"/>
          <w:sz w:val="24"/>
          <w:szCs w:val="24"/>
          <w:lang w:eastAsia="ru-RU"/>
        </w:rPr>
      </w:pPr>
      <w:r w:rsidRPr="00C02237">
        <w:rPr>
          <w:rFonts w:ascii="Times New Roman" w:eastAsia="Times New Roman" w:hAnsi="Times New Roman" w:cs="Times New Roman"/>
          <w:sz w:val="24"/>
          <w:szCs w:val="24"/>
          <w:lang w:eastAsia="ru-RU"/>
        </w:rPr>
        <w:t>• Настоящее. Что представляет собой объект сегодня. Какой он? Каковы его функции?</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xml:space="preserve">- Далее детям предоставляется возможность представить себе будущее, каким станет объект в будущем: его функции, внешний вид, как он будет называться и т. п. </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Для более успешного запоминания порядка рассматривания систем можно использовать стихотворение.</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"Что-то"</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Если мы рассмотрим что-то.</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Это что-то для чего-то.</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Это что-то из чего-то.</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Это что-то часть чего-то.</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Чем-то было это что-то.</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Что-то будет с этим что-то.</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Что-то ты сейчас возьми, на экранах рассмотри!</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автор: М. С. Гафитулин.</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Старшие дети  хорошо владеют системным оператором, и когда мы им предлагаем игры на определение под-системных связей, то эти экраны они заполняют довольно легко. «Разбирая» любой объект на составляющие элементы, легко поддерживать у детей интерес к познанию объектов живой и неживой природы. Также у них расширяются и обогащаются знания о назначении, рассматриваемых объектов. Определение под-системных связей позволяет подробно описать внешний вид объекта. Итогом обучения на этом этапе является умение ребенка старшего дошкольного возраста описывать все системные связи любого объекта материального мира.</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 xml:space="preserve">Используя в работе с детьми метод «системный оператор» мы можем не рассматривать все экраны на одном занятии или в одной игре. Рассматриваются только те экраны, которые нужны в данный момент для достижения какой-либо цели. При этом достаточно рассмотреть систему только по вертикали, или по горизонтали, открывая по три и даже два «окошка». </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lastRenderedPageBreak/>
        <w:t>Для придумывания сказки или рассказа продолжаем использовать модель анализа объектов «пятиэкранку», «шестиэкранку». Со сказкой можно работать нетрадиционно. Перепутать сюжеты и героев, а детям предложить «выпутаться из сложившейся ситуации. Изменить характер героя – как пойдет дальше сказка сказываться? Ввести нового героя в знакомую сказку – что изменится в сюжете? Нарочно переврать сказку – пусть дети восстановят её сюжет. Интересно? Детям нравится.</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xml:space="preserve">Схемы, картинки «волшебных телевизоров» используются в разнообразной деятельности детей. </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Дети на наших занятиях одновременно играют и учатся. Развивают коммуникативные умения, так как на каждом занятии надо уметь свободно высказать свою мысль, поделиться впечатлениями, а главное, у детей развивается познавательный интерес и активность, поскольку любая тема требует от детей активизации опыта реальной жизни.</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Девиз тризовцев - "Можно говорить все". И дети говорят, придумывают. Выслушивать нужно каждого желающего. Пусть учатся возражать воспитателю и друг другу, но аргументировано, предлагая что-то взамен или доказывая. Детям нужно давать только положительную оценку: "интересно", "необычно", "любопытно", "хорошо", "молодец" и т.д.</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xml:space="preserve">Тематика системных операторов осуществляется в комплексе с чтением художественной литературы, проведением разнообразных игр. </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 xml:space="preserve">Любые вещи могут иметь что-то общее, если установить между ними какую-либо связь (временную, пространственную, звуковую, причинную и т.д.). Наши дети очень полюбили игры на системный анализ «Чем связаны», «Чем похожи», «Что общего» </w:t>
      </w:r>
    </w:p>
    <w:p w:rsidR="0061586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 xml:space="preserve">Игры на объединение над- и под- системы объекта: «Волшебный светофор» красный цвет означает подсистему объекта, желтый – систему, зеленый – надсистему. Таким образом, рассматривается любой объект. </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 xml:space="preserve">Педагог показывает картинку с изображением животного. </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Педагог: Если я подниму кружочек красного цвета – вы мне назовете части животного. Если я подниму круг зеленого цвета, вы мне скажите, частью чего является животное. А если я подниму круг желтого цвета, то вы мне скажите для чего оно или какую пользу приносит.</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 xml:space="preserve">Игры на сравнение систем-"На что похоже" </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Ведущий называет объект, а дети называют объекты, похожие на него (если двое игроков – называют по очереди. Выигрывает тот, кто назвал последний).</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Примечание: Похожими объекты могут по следующим признакам: по назначению (по функции), по подсистеме, по надсистеме, по прошлому и будущему, по звуку, по запаху, по цвету, по размеру, по форме, по материалу. Ведущий просит объяснить, почему играющий решил, что названные объекты похожи. (например: На что похож абажу</w:t>
      </w:r>
      <w:r w:rsidR="00615867" w:rsidRPr="00C02237">
        <w:rPr>
          <w:rFonts w:ascii="Times New Roman" w:hAnsi="Times New Roman" w:cs="Times New Roman"/>
          <w:sz w:val="24"/>
          <w:szCs w:val="24"/>
        </w:rPr>
        <w:t xml:space="preserve">р? На зонт; на Красную Шапочку; </w:t>
      </w:r>
      <w:r w:rsidRPr="00C02237">
        <w:rPr>
          <w:rFonts w:ascii="Times New Roman" w:hAnsi="Times New Roman" w:cs="Times New Roman"/>
          <w:sz w:val="24"/>
          <w:szCs w:val="24"/>
        </w:rPr>
        <w:t>на</w:t>
      </w:r>
      <w:r w:rsidR="00615867" w:rsidRPr="00C02237">
        <w:rPr>
          <w:rFonts w:ascii="Times New Roman" w:hAnsi="Times New Roman" w:cs="Times New Roman"/>
          <w:sz w:val="24"/>
          <w:szCs w:val="24"/>
        </w:rPr>
        <w:t xml:space="preserve"> колокол, потому что он большой;</w:t>
      </w:r>
      <w:r w:rsidRPr="00C02237">
        <w:rPr>
          <w:rFonts w:ascii="Times New Roman" w:hAnsi="Times New Roman" w:cs="Times New Roman"/>
          <w:sz w:val="24"/>
          <w:szCs w:val="24"/>
        </w:rPr>
        <w:t xml:space="preserve"> на цаплю, потому что она стоит на одной ноге.)</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 xml:space="preserve">Каждый день работы с детьми поиск. Например, ребенок задал вопрос. Вы спрашиваете, а что он сам об этом думает. Приглашаете порассуждать. И наводящими вопросами подводите к тому, что он сам находит ответ. А если ребенок не задает вопрос, поставьте проблемную ситуацию. Например, надо дать детям знания о свойствах дерева. Начинаем с вопроса: «Что было бы, если бы на земле не было леса, деревьев?» «Чем же полезно дерево?» «Какие свойства дерева не нравились человеку?» Зачем люди выращивают леса, парки? Чем могут отличаться деревья? Почему в деревянном доме жить </w:t>
      </w:r>
      <w:r w:rsidRPr="00C02237">
        <w:rPr>
          <w:rFonts w:ascii="Times New Roman" w:hAnsi="Times New Roman" w:cs="Times New Roman"/>
          <w:sz w:val="24"/>
          <w:szCs w:val="24"/>
        </w:rPr>
        <w:lastRenderedPageBreak/>
        <w:t>удобно, чем в каменном? Где могут пригодиться стружки, опилки? Значит, каждое занятие с детьми проблемы, поиски, цепочки вопросов: Как? Откуда? Зачем? Для чего? Чем можно заменить? Чем хорош? Чем плох? Чем полезен? И др.</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xml:space="preserve"> </w:t>
      </w:r>
      <w:r w:rsidRPr="00C02237">
        <w:rPr>
          <w:rFonts w:ascii="Times New Roman" w:hAnsi="Times New Roman" w:cs="Times New Roman"/>
          <w:sz w:val="24"/>
          <w:szCs w:val="24"/>
        </w:rPr>
        <w:tab/>
        <w:t xml:space="preserve">Постоянно открывать перед детьми «тайну двойного» во всем. Это наличие противоречия в объятие, когда что-то в нем хорошо, а что-то плохо.     В работе со старшими дошкольниками берем объекты, имеющие для детей социальную значимость, и учимся находить противоречивые свойства </w:t>
      </w:r>
    </w:p>
    <w:p w:rsidR="008A7937" w:rsidRPr="00C02237" w:rsidRDefault="008A7937" w:rsidP="00C02237">
      <w:pPr>
        <w:spacing w:after="0" w:line="276" w:lineRule="auto"/>
        <w:ind w:firstLine="708"/>
        <w:jc w:val="both"/>
        <w:rPr>
          <w:rFonts w:ascii="Times New Roman" w:hAnsi="Times New Roman" w:cs="Times New Roman"/>
          <w:sz w:val="24"/>
          <w:szCs w:val="24"/>
        </w:rPr>
      </w:pPr>
      <w:r w:rsidRPr="00C02237">
        <w:rPr>
          <w:rFonts w:ascii="Times New Roman" w:hAnsi="Times New Roman" w:cs="Times New Roman"/>
          <w:sz w:val="24"/>
          <w:szCs w:val="24"/>
        </w:rPr>
        <w:t>Словесные игры по системе ТРИЗ направлены на развитие различных видов речевой активности, позволяют каждому ребёнку легко и свободно проявлять творческую одарённость, дети не боятся трудностей, нового, неизвестного, почувствовать собственную значимость для окружающих, удовольствие от самостоятельно выполненной работы и добиться практического результата.</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Использование системного оператора ТРИЗ в работе с дошкольниками даёт несомненные преимущества:</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xml:space="preserve">- в активизации познавательной деятельности детей </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в создании условий для развития образной стороны речи детей (обогащение словарного запаса оценочной лексики, словами с переносным значением, синонимами и антонимами),</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повышает эффективность овладения всеми языковыми средствами,</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осознанность в построении лексико-грамматических конструкций,</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xml:space="preserve">гибкости аналитико-синтетических операций в мыслительной деятельности. </w:t>
      </w:r>
    </w:p>
    <w:p w:rsidR="008A7937" w:rsidRPr="00C02237" w:rsidRDefault="008A7937" w:rsidP="00C02237">
      <w:pPr>
        <w:spacing w:after="0" w:line="276" w:lineRule="auto"/>
        <w:jc w:val="both"/>
        <w:rPr>
          <w:rFonts w:ascii="Times New Roman" w:hAnsi="Times New Roman" w:cs="Times New Roman"/>
          <w:sz w:val="24"/>
          <w:szCs w:val="24"/>
        </w:rPr>
      </w:pPr>
      <w:r w:rsidRPr="00C02237">
        <w:rPr>
          <w:rFonts w:ascii="Times New Roman" w:hAnsi="Times New Roman" w:cs="Times New Roman"/>
          <w:sz w:val="24"/>
          <w:szCs w:val="24"/>
        </w:rPr>
        <w:t xml:space="preserve">Активно используя элементы ТРИЗ в работе с детьми  я убедились: у детей обогащается круг представлений, развиваются творческие способности. По средствам использования системного оператора растет словарный запас, ТРИЗ помогает формировать диалектику и логику, преодолеть застенчивость, замкнутость, робость: маленький человек учится отстаивать свою точку зрения, а попадая в трудные ситуации, самостоятельно находить оригинальные решения. </w:t>
      </w:r>
    </w:p>
    <w:p w:rsidR="005C3E62" w:rsidRPr="00C02237" w:rsidRDefault="005C3E62" w:rsidP="00C02237">
      <w:pPr>
        <w:spacing w:line="276" w:lineRule="auto"/>
        <w:rPr>
          <w:rFonts w:ascii="Times New Roman" w:hAnsi="Times New Roman" w:cs="Times New Roman"/>
          <w:sz w:val="24"/>
          <w:szCs w:val="24"/>
        </w:rPr>
      </w:pPr>
    </w:p>
    <w:sectPr w:rsidR="005C3E62" w:rsidRPr="00C022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0A9"/>
    <w:rsid w:val="003B60A9"/>
    <w:rsid w:val="005C3E62"/>
    <w:rsid w:val="00615867"/>
    <w:rsid w:val="006F0BB0"/>
    <w:rsid w:val="008A7937"/>
    <w:rsid w:val="00C02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72187A-6665-4619-9C02-5DDB53854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7937"/>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79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81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1457</Words>
  <Characters>8311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2020-08-31T15:40:00Z</dcterms:created>
  <dcterms:modified xsi:type="dcterms:W3CDTF">2020-08-31T16:13:00Z</dcterms:modified>
</cp:coreProperties>
</file>